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A0529" w14:textId="6535F0D7" w:rsidR="00A80F17" w:rsidRPr="00DB03A6" w:rsidRDefault="00A80F17" w:rsidP="00A80F17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2F5496"/>
          <w:spacing w:val="-10"/>
          <w:kern w:val="28"/>
        </w:rPr>
      </w:pPr>
      <w:r w:rsidRPr="00DB03A6">
        <w:rPr>
          <w:rFonts w:ascii="Arial" w:eastAsia="Times New Roman" w:hAnsi="Arial" w:cs="Arial"/>
          <w:b/>
          <w:spacing w:val="-10"/>
          <w:kern w:val="28"/>
        </w:rPr>
        <w:t xml:space="preserve">Capítulo 4 </w:t>
      </w:r>
      <w:proofErr w:type="gramStart"/>
      <w:r w:rsidRPr="00DB03A6">
        <w:rPr>
          <w:rFonts w:ascii="Arial" w:eastAsia="Times New Roman" w:hAnsi="Arial" w:cs="Arial"/>
          <w:b/>
          <w:spacing w:val="-10"/>
          <w:kern w:val="28"/>
        </w:rPr>
        <w:t>-  LGPD</w:t>
      </w:r>
      <w:proofErr w:type="gramEnd"/>
      <w:r w:rsidRPr="00DB03A6">
        <w:rPr>
          <w:rFonts w:ascii="Arial" w:eastAsia="Times New Roman" w:hAnsi="Arial" w:cs="Arial"/>
          <w:b/>
          <w:spacing w:val="-10"/>
          <w:kern w:val="28"/>
        </w:rPr>
        <w:t>, Marco Civil da Internet, HIPAA</w:t>
      </w:r>
    </w:p>
    <w:p w14:paraId="0684BDFB" w14:textId="77777777" w:rsidR="00A80F17" w:rsidRPr="00DB03A6" w:rsidRDefault="00A80F17" w:rsidP="00A80F17">
      <w:pPr>
        <w:spacing w:line="360" w:lineRule="auto"/>
        <w:jc w:val="both"/>
        <w:rPr>
          <w:rFonts w:ascii="Arial" w:eastAsia="Calibri" w:hAnsi="Arial" w:cs="Arial"/>
        </w:rPr>
      </w:pPr>
    </w:p>
    <w:p w14:paraId="2D78EF9F" w14:textId="77777777" w:rsidR="00A80F17" w:rsidRPr="00DB03A6" w:rsidRDefault="00A80F17" w:rsidP="00A80F17">
      <w:pPr>
        <w:spacing w:after="0" w:line="240" w:lineRule="auto"/>
        <w:jc w:val="both"/>
        <w:rPr>
          <w:rFonts w:ascii="Arial" w:eastAsia="Calibri" w:hAnsi="Arial" w:cs="Arial"/>
        </w:rPr>
      </w:pPr>
      <w:proofErr w:type="spellStart"/>
      <w:r w:rsidRPr="00DB03A6">
        <w:rPr>
          <w:rFonts w:ascii="Arial" w:eastAsia="Calibri" w:hAnsi="Arial" w:cs="Arial"/>
          <w:b/>
        </w:rPr>
        <w:t>Domenique</w:t>
      </w:r>
      <w:proofErr w:type="spellEnd"/>
      <w:r w:rsidRPr="00DB03A6">
        <w:rPr>
          <w:rFonts w:ascii="Arial" w:eastAsia="Calibri" w:hAnsi="Arial" w:cs="Arial"/>
          <w:b/>
        </w:rPr>
        <w:t xml:space="preserve"> </w:t>
      </w:r>
      <w:proofErr w:type="spellStart"/>
      <w:r w:rsidRPr="00DB03A6">
        <w:rPr>
          <w:rFonts w:ascii="Arial" w:eastAsia="Calibri" w:hAnsi="Arial" w:cs="Arial"/>
          <w:b/>
        </w:rPr>
        <w:t>Orkov</w:t>
      </w:r>
      <w:proofErr w:type="spellEnd"/>
      <w:r w:rsidRPr="00DB03A6">
        <w:rPr>
          <w:rFonts w:ascii="Arial" w:eastAsia="Calibri" w:hAnsi="Arial" w:cs="Arial"/>
        </w:rPr>
        <w:t xml:space="preserve">, MD, </w:t>
      </w:r>
      <w:r w:rsidRPr="00DB03A6">
        <w:rPr>
          <w:rFonts w:ascii="Arial" w:eastAsia="Calibri" w:hAnsi="Arial" w:cs="Arial"/>
          <w:i/>
          <w:iCs/>
        </w:rPr>
        <w:t xml:space="preserve">Data </w:t>
      </w:r>
      <w:proofErr w:type="spellStart"/>
      <w:r w:rsidRPr="00DB03A6">
        <w:rPr>
          <w:rFonts w:ascii="Arial" w:eastAsia="Calibri" w:hAnsi="Arial" w:cs="Arial"/>
          <w:i/>
          <w:iCs/>
        </w:rPr>
        <w:t>Protection</w:t>
      </w:r>
      <w:proofErr w:type="spellEnd"/>
      <w:r w:rsidRPr="00DB03A6">
        <w:rPr>
          <w:rFonts w:ascii="Arial" w:eastAsia="Calibri" w:hAnsi="Arial" w:cs="Arial"/>
          <w:i/>
          <w:iCs/>
        </w:rPr>
        <w:t xml:space="preserve"> Officer</w:t>
      </w:r>
      <w:r w:rsidRPr="00DB03A6">
        <w:rPr>
          <w:rFonts w:ascii="Arial" w:eastAsia="Calibri" w:hAnsi="Arial" w:cs="Arial"/>
        </w:rPr>
        <w:t>, Diretora Médica da Medical Defense</w:t>
      </w:r>
    </w:p>
    <w:p w14:paraId="0A4E3127" w14:textId="77777777" w:rsidR="000B7D1B" w:rsidRPr="00DB03A6" w:rsidRDefault="000B7D1B" w:rsidP="00A80F17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138D6B66" w14:textId="616567DB" w:rsidR="00A80F17" w:rsidRPr="00DB03A6" w:rsidRDefault="00A80F17" w:rsidP="00A80F17">
      <w:pPr>
        <w:spacing w:after="0" w:line="240" w:lineRule="auto"/>
        <w:jc w:val="both"/>
        <w:rPr>
          <w:rFonts w:ascii="Arial" w:eastAsia="Calibri" w:hAnsi="Arial" w:cs="Arial"/>
        </w:rPr>
      </w:pPr>
      <w:proofErr w:type="spellStart"/>
      <w:r w:rsidRPr="00DB03A6">
        <w:rPr>
          <w:rFonts w:ascii="Arial" w:eastAsia="Calibri" w:hAnsi="Arial" w:cs="Arial"/>
          <w:b/>
        </w:rPr>
        <w:t>Luis</w:t>
      </w:r>
      <w:proofErr w:type="spellEnd"/>
      <w:r w:rsidRPr="00DB03A6">
        <w:rPr>
          <w:rFonts w:ascii="Arial" w:eastAsia="Calibri" w:hAnsi="Arial" w:cs="Arial"/>
          <w:b/>
        </w:rPr>
        <w:t xml:space="preserve"> Gustavo </w:t>
      </w:r>
      <w:proofErr w:type="spellStart"/>
      <w:r w:rsidRPr="00DB03A6">
        <w:rPr>
          <w:rFonts w:ascii="Arial" w:eastAsia="Calibri" w:hAnsi="Arial" w:cs="Arial"/>
          <w:b/>
        </w:rPr>
        <w:t>Kiatake</w:t>
      </w:r>
      <w:proofErr w:type="spellEnd"/>
      <w:r w:rsidRPr="00DB03A6">
        <w:rPr>
          <w:rFonts w:ascii="Arial" w:eastAsia="Calibri" w:hAnsi="Arial" w:cs="Arial"/>
        </w:rPr>
        <w:t xml:space="preserve">, Eng., </w:t>
      </w:r>
      <w:proofErr w:type="spellStart"/>
      <w:r w:rsidRPr="00DB03A6">
        <w:rPr>
          <w:rFonts w:ascii="Arial" w:eastAsia="Calibri" w:hAnsi="Arial" w:cs="Arial"/>
        </w:rPr>
        <w:t>MsC</w:t>
      </w:r>
      <w:proofErr w:type="spellEnd"/>
      <w:r w:rsidRPr="00DB03A6">
        <w:rPr>
          <w:rFonts w:ascii="Arial" w:eastAsia="Calibri" w:hAnsi="Arial" w:cs="Arial"/>
        </w:rPr>
        <w:t xml:space="preserve"> – Sociedade Brasileira de Informática em Saúde - SBIS</w:t>
      </w:r>
    </w:p>
    <w:p w14:paraId="0FF91BEE" w14:textId="77777777" w:rsidR="000B7D1B" w:rsidRPr="00DB03A6" w:rsidRDefault="000B7D1B" w:rsidP="00A80F17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335DEA38" w14:textId="74C04A8E" w:rsidR="00A80F17" w:rsidRPr="00DB03A6" w:rsidRDefault="00A80F17" w:rsidP="00A80F17">
      <w:pPr>
        <w:spacing w:after="0" w:line="240" w:lineRule="auto"/>
        <w:jc w:val="both"/>
        <w:rPr>
          <w:rFonts w:ascii="Arial" w:eastAsia="Calibri" w:hAnsi="Arial" w:cs="Arial"/>
        </w:rPr>
      </w:pPr>
      <w:r w:rsidRPr="00DB03A6">
        <w:rPr>
          <w:rFonts w:ascii="Arial" w:eastAsia="Calibri" w:hAnsi="Arial" w:cs="Arial"/>
          <w:b/>
        </w:rPr>
        <w:t>Paulo Roberto de Lima Lopes</w:t>
      </w:r>
      <w:r w:rsidRPr="00DB03A6">
        <w:rPr>
          <w:rFonts w:ascii="Arial" w:eastAsia="Calibri" w:hAnsi="Arial" w:cs="Arial"/>
        </w:rPr>
        <w:t xml:space="preserve">, Eng., </w:t>
      </w:r>
      <w:proofErr w:type="spellStart"/>
      <w:r w:rsidRPr="00DB03A6">
        <w:rPr>
          <w:rFonts w:ascii="Arial" w:eastAsia="Calibri" w:hAnsi="Arial" w:cs="Arial"/>
        </w:rPr>
        <w:t>DSc</w:t>
      </w:r>
      <w:proofErr w:type="spellEnd"/>
      <w:r w:rsidRPr="00DB03A6">
        <w:rPr>
          <w:rFonts w:ascii="Arial" w:eastAsia="Calibri" w:hAnsi="Arial" w:cs="Arial"/>
        </w:rPr>
        <w:t xml:space="preserve">. - Associação Brasileira de Telemedicina e </w:t>
      </w:r>
      <w:proofErr w:type="spellStart"/>
      <w:r w:rsidRPr="00DB03A6">
        <w:rPr>
          <w:rFonts w:ascii="Arial" w:eastAsia="Calibri" w:hAnsi="Arial" w:cs="Arial"/>
        </w:rPr>
        <w:t>Telessaúde</w:t>
      </w:r>
      <w:proofErr w:type="spellEnd"/>
      <w:r w:rsidRPr="00DB03A6">
        <w:rPr>
          <w:rFonts w:ascii="Arial" w:eastAsia="Calibri" w:hAnsi="Arial" w:cs="Arial"/>
        </w:rPr>
        <w:t xml:space="preserve"> - </w:t>
      </w:r>
      <w:proofErr w:type="spellStart"/>
      <w:r w:rsidRPr="00DB03A6">
        <w:rPr>
          <w:rFonts w:ascii="Arial" w:eastAsia="Calibri" w:hAnsi="Arial" w:cs="Arial"/>
        </w:rPr>
        <w:t>ABTms</w:t>
      </w:r>
      <w:proofErr w:type="spellEnd"/>
    </w:p>
    <w:p w14:paraId="34EF28BB" w14:textId="77777777" w:rsidR="00A80F17" w:rsidRPr="00DB03A6" w:rsidRDefault="00A80F17" w:rsidP="00A80F17">
      <w:pPr>
        <w:keepNext/>
        <w:spacing w:before="240" w:after="240" w:line="360" w:lineRule="auto"/>
        <w:jc w:val="both"/>
        <w:outlineLvl w:val="0"/>
        <w:rPr>
          <w:rFonts w:ascii="Arial" w:eastAsia="Times New Roman" w:hAnsi="Arial" w:cs="Arial"/>
          <w:b/>
          <w:bCs/>
          <w:color w:val="2F5496"/>
        </w:rPr>
      </w:pPr>
      <w:r w:rsidRPr="00DB03A6">
        <w:rPr>
          <w:rFonts w:ascii="Arial" w:eastAsia="Times New Roman" w:hAnsi="Arial" w:cs="Arial"/>
          <w:b/>
          <w:bCs/>
          <w:color w:val="2F5496"/>
        </w:rPr>
        <w:t>Introdução</w:t>
      </w:r>
    </w:p>
    <w:p w14:paraId="55FA6539" w14:textId="77777777" w:rsidR="00A80F17" w:rsidRPr="00DB03A6" w:rsidRDefault="00A80F17" w:rsidP="00A80F17">
      <w:pPr>
        <w:spacing w:line="360" w:lineRule="auto"/>
        <w:jc w:val="both"/>
        <w:rPr>
          <w:rFonts w:ascii="Arial" w:eastAsia="Calibri" w:hAnsi="Arial" w:cs="Arial"/>
        </w:rPr>
      </w:pPr>
      <w:r w:rsidRPr="00DB03A6">
        <w:rPr>
          <w:rFonts w:ascii="Arial" w:eastAsia="Calibri" w:hAnsi="Arial" w:cs="Arial"/>
        </w:rPr>
        <w:t xml:space="preserve">Os recentes avanços tecnológicos fizeram emergir para os médicos em geral, assuntos que antes eram restritos aos profissionais envolvidos com informática médica: temas como segurança da informação, privacidade e proteção de dados pessoais, </w:t>
      </w:r>
      <w:proofErr w:type="spellStart"/>
      <w:r w:rsidRPr="00DB03A6">
        <w:rPr>
          <w:rFonts w:ascii="Arial" w:eastAsia="Calibri" w:hAnsi="Arial" w:cs="Arial"/>
        </w:rPr>
        <w:t>cybersecurity</w:t>
      </w:r>
      <w:proofErr w:type="spellEnd"/>
      <w:r w:rsidRPr="00DB03A6">
        <w:rPr>
          <w:rFonts w:ascii="Arial" w:eastAsia="Calibri" w:hAnsi="Arial" w:cs="Arial"/>
        </w:rPr>
        <w:t>, legitimidade de usuários de sistemas informatizados de saúde, são algumas das preocupações que hoje devem fazer parte do programa de boas práticas de todos os profissionais e instituições de saúde.</w:t>
      </w:r>
    </w:p>
    <w:p w14:paraId="020A2D01" w14:textId="77777777" w:rsidR="00A80F17" w:rsidRPr="00DB03A6" w:rsidRDefault="00A80F17" w:rsidP="00A80F17">
      <w:pPr>
        <w:spacing w:line="360" w:lineRule="auto"/>
        <w:jc w:val="both"/>
        <w:rPr>
          <w:rFonts w:ascii="Arial" w:eastAsia="Calibri" w:hAnsi="Arial" w:cs="Arial"/>
        </w:rPr>
      </w:pPr>
      <w:r w:rsidRPr="00DB03A6">
        <w:rPr>
          <w:rFonts w:ascii="Arial" w:eastAsia="Calibri" w:hAnsi="Arial" w:cs="Arial"/>
        </w:rPr>
        <w:t>Desde os tempos hipocráticos já se falava sobre resguardo do sigilo das informações dos pacientes e na formatura, solenemente os médicos juram:</w:t>
      </w:r>
    </w:p>
    <w:p w14:paraId="5B6D250D" w14:textId="77777777" w:rsidR="00A80F17" w:rsidRPr="00DB03A6" w:rsidRDefault="00A80F17" w:rsidP="00A80F17">
      <w:pPr>
        <w:spacing w:line="360" w:lineRule="auto"/>
        <w:ind w:left="3540"/>
        <w:jc w:val="both"/>
        <w:rPr>
          <w:rFonts w:ascii="Arial" w:eastAsia="Calibri" w:hAnsi="Arial" w:cs="Arial"/>
        </w:rPr>
      </w:pPr>
      <w:r w:rsidRPr="00DB03A6">
        <w:rPr>
          <w:rFonts w:ascii="Arial" w:eastAsia="Calibri" w:hAnsi="Arial" w:cs="Arial"/>
        </w:rPr>
        <w:t>“...Àquilo que no exercício ou fora do exercício da profissão e no convívio da sociedade, eu tiver visto ou ouvido, que não seja preciso divulgar, eu conservarei inteiramente secreto.”</w:t>
      </w:r>
    </w:p>
    <w:p w14:paraId="05334B94" w14:textId="77777777" w:rsidR="00A80F17" w:rsidRPr="00DB03A6" w:rsidRDefault="00A80F17" w:rsidP="00A80F17">
      <w:pPr>
        <w:spacing w:line="360" w:lineRule="auto"/>
        <w:jc w:val="both"/>
        <w:rPr>
          <w:rFonts w:ascii="Arial" w:eastAsia="Calibri" w:hAnsi="Arial" w:cs="Arial"/>
        </w:rPr>
      </w:pPr>
      <w:r w:rsidRPr="00DB03A6">
        <w:rPr>
          <w:rFonts w:ascii="Arial" w:eastAsia="Calibri" w:hAnsi="Arial" w:cs="Arial"/>
        </w:rPr>
        <w:t>O Juramento de Hipócrates coloca assim, desde o início da jornada médica, uma pedra fundamental que alicerça a obrigação do sigilo profissional e que é um dos pilares da relação médico-paciente.</w:t>
      </w:r>
    </w:p>
    <w:p w14:paraId="1BE72DCE" w14:textId="77777777" w:rsidR="00A80F17" w:rsidRPr="00DB03A6" w:rsidRDefault="00A80F17" w:rsidP="00A80F17">
      <w:pPr>
        <w:spacing w:line="360" w:lineRule="auto"/>
        <w:jc w:val="both"/>
        <w:rPr>
          <w:rFonts w:ascii="Arial" w:eastAsia="Calibri" w:hAnsi="Arial" w:cs="Arial"/>
        </w:rPr>
      </w:pPr>
      <w:r w:rsidRPr="00DB03A6">
        <w:rPr>
          <w:rFonts w:ascii="Arial" w:eastAsia="Calibri" w:hAnsi="Arial" w:cs="Arial"/>
        </w:rPr>
        <w:t xml:space="preserve">As normativas que obrigam ao cumprimento do sigilo estão alinhadas em diversos diplomas legais e regulatórios, incluindo desde a Constituição Federal, passando pelo Código Penal e chegando ao Código de Ética Médica </w:t>
      </w:r>
      <w:r w:rsidRPr="00DB03A6">
        <w:rPr>
          <w:rFonts w:ascii="Arial" w:eastAsia="Calibri" w:hAnsi="Arial" w:cs="Arial"/>
        </w:rPr>
        <w:fldChar w:fldCharType="begin" w:fldLock="1"/>
      </w:r>
      <w:r w:rsidRPr="00DB03A6">
        <w:rPr>
          <w:rFonts w:ascii="Arial" w:eastAsia="Calibri" w:hAnsi="Arial" w:cs="Arial"/>
        </w:rPr>
        <w:instrText>ADDIN CSL_CITATION {"citationItems":[{"id":"ITEM-1","itemData":{"author":[{"dropping-particle":"","family":"Conselho Federal de Medicina","given":"","non-dropping-particle":"","parse-names":false,"suffix":""}],"id":"ITEM-1","issued":{"date-parts":[["2018"]]},"title":"RESOLUÇÃO Nº 2.217, DE 27 DE SETEMBRO DE 2018. Aprova o Código de Ética Médica","type":"bill"},"uris":["http://www.mendeley.com/documents/?uuid=d30d8747-39e2-4764-92c2-591792657f9f"]}],"mendeley":{"formattedCitation":"(1)","plainTextFormattedCitation":"(1)","previouslyFormattedCitation":"(1)"},"properties":{"noteIndex":0},"schema":"https://github.com/citation-style-language/schema/raw/master/csl-citation.json"}</w:instrText>
      </w:r>
      <w:r w:rsidRPr="00DB03A6">
        <w:rPr>
          <w:rFonts w:ascii="Arial" w:eastAsia="Calibri" w:hAnsi="Arial" w:cs="Arial"/>
        </w:rPr>
        <w:fldChar w:fldCharType="separate"/>
      </w:r>
      <w:r w:rsidRPr="00DB03A6">
        <w:rPr>
          <w:rFonts w:ascii="Arial" w:eastAsia="Calibri" w:hAnsi="Arial" w:cs="Arial"/>
          <w:noProof/>
        </w:rPr>
        <w:t>(1)</w:t>
      </w:r>
      <w:r w:rsidRPr="00DB03A6">
        <w:rPr>
          <w:rFonts w:ascii="Arial" w:eastAsia="Calibri" w:hAnsi="Arial" w:cs="Arial"/>
        </w:rPr>
        <w:fldChar w:fldCharType="end"/>
      </w:r>
      <w:r w:rsidRPr="00DB03A6">
        <w:rPr>
          <w:rFonts w:ascii="Arial" w:eastAsia="Calibri" w:hAnsi="Arial" w:cs="Arial"/>
        </w:rPr>
        <w:t>, que traz a previsão explícita em seu artigo 73:</w:t>
      </w:r>
    </w:p>
    <w:p w14:paraId="0ED504CA" w14:textId="77777777" w:rsidR="00A80F17" w:rsidRPr="00DB03A6" w:rsidRDefault="00A80F17" w:rsidP="00A80F17">
      <w:pPr>
        <w:spacing w:line="360" w:lineRule="auto"/>
        <w:ind w:left="3540"/>
        <w:jc w:val="both"/>
        <w:rPr>
          <w:rFonts w:ascii="Arial" w:eastAsia="Calibri" w:hAnsi="Arial" w:cs="Arial"/>
        </w:rPr>
      </w:pPr>
      <w:r w:rsidRPr="00DB03A6">
        <w:rPr>
          <w:rFonts w:ascii="Arial" w:eastAsia="Calibri" w:hAnsi="Arial" w:cs="Arial"/>
        </w:rPr>
        <w:t>“É vedado ao médico:</w:t>
      </w:r>
    </w:p>
    <w:p w14:paraId="1D2581C4" w14:textId="77777777" w:rsidR="00A80F17" w:rsidRPr="00DB03A6" w:rsidRDefault="00A80F17" w:rsidP="00A80F17">
      <w:pPr>
        <w:spacing w:line="360" w:lineRule="auto"/>
        <w:ind w:left="3540"/>
        <w:jc w:val="both"/>
        <w:rPr>
          <w:rFonts w:ascii="Arial" w:eastAsia="Calibri" w:hAnsi="Arial" w:cs="Arial"/>
        </w:rPr>
      </w:pPr>
      <w:r w:rsidRPr="00DB03A6">
        <w:rPr>
          <w:rFonts w:ascii="Arial" w:eastAsia="Calibri" w:hAnsi="Arial" w:cs="Arial"/>
        </w:rPr>
        <w:t>Art. 73: Revelar fato de que tenha conhecimento em virtude do exercício de sua profissão, salvo por motivo justo, dever legal ou consentimento, por escrito, do paciente.”</w:t>
      </w:r>
    </w:p>
    <w:p w14:paraId="19363C48" w14:textId="7E59D2E6" w:rsidR="00717406" w:rsidRPr="00DB03A6" w:rsidRDefault="00A80F17" w:rsidP="00DB03A6">
      <w:pPr>
        <w:spacing w:line="360" w:lineRule="auto"/>
        <w:jc w:val="both"/>
        <w:rPr>
          <w:rFonts w:ascii="Arial" w:hAnsi="Arial" w:cs="Arial"/>
        </w:rPr>
      </w:pPr>
      <w:r w:rsidRPr="00DB03A6">
        <w:rPr>
          <w:rFonts w:ascii="Arial" w:eastAsia="Calibri" w:hAnsi="Arial" w:cs="Arial"/>
        </w:rPr>
        <w:t>Outros aspectos éticos considerados são beneficência, não maleficência, justiça e a autonomia</w:t>
      </w:r>
      <w:r w:rsidRPr="00DB03A6">
        <w:rPr>
          <w:rFonts w:ascii="Arial" w:eastAsia="Calibri" w:hAnsi="Arial" w:cs="Arial"/>
        </w:rPr>
        <w:fldChar w:fldCharType="begin" w:fldLock="1"/>
      </w:r>
      <w:r w:rsidRPr="00DB03A6">
        <w:rPr>
          <w:rFonts w:ascii="Arial" w:eastAsia="Calibri" w:hAnsi="Arial" w:cs="Arial"/>
        </w:rPr>
        <w:instrText>ADDIN CSL_CITATION {"citationItems":[{"id":"ITEM-1","itemData":{"URL":"https://www.megajuridico.com/a-telemedicina-e-os-aspectos-eticos/","author":[{"dropping-particle":"","family":"Kozyreff","given":"Alan Martinez","non-dropping-particle":"","parse-names":false,"suffix":""}],"container-title":"Megajuridico","id":"ITEM-1","issued":{"date-parts":[["2022"]]},"title":"A telemedicina e os aspectos éticos","type":"webpage"},"uris":["http://www.mendeley.com/documents/?uuid=b3d45132-4159-4563-bade-c220ca471ace"]}],"mendeley":{"formattedCitation":"(2)","plainTextFormattedCitation":"(2)","previouslyFormattedCitation":"(2)"},"properties":{"noteIndex":0},"schema":"https://github.com/citation-style-language/schema/raw/master/csl-citation.json"}</w:instrText>
      </w:r>
      <w:r w:rsidRPr="00DB03A6">
        <w:rPr>
          <w:rFonts w:ascii="Arial" w:eastAsia="Calibri" w:hAnsi="Arial" w:cs="Arial"/>
        </w:rPr>
        <w:fldChar w:fldCharType="separate"/>
      </w:r>
      <w:r w:rsidRPr="00DB03A6">
        <w:rPr>
          <w:rFonts w:ascii="Arial" w:eastAsia="Calibri" w:hAnsi="Arial" w:cs="Arial"/>
          <w:noProof/>
        </w:rPr>
        <w:t>(2)</w:t>
      </w:r>
      <w:r w:rsidRPr="00DB03A6">
        <w:rPr>
          <w:rFonts w:ascii="Arial" w:eastAsia="Calibri" w:hAnsi="Arial" w:cs="Arial"/>
        </w:rPr>
        <w:fldChar w:fldCharType="end"/>
      </w:r>
      <w:r w:rsidRPr="00DB03A6">
        <w:rPr>
          <w:rFonts w:ascii="Arial" w:eastAsia="Calibri" w:hAnsi="Arial" w:cs="Arial"/>
        </w:rPr>
        <w:t>.</w:t>
      </w:r>
      <w:r w:rsidR="00DB03A6" w:rsidRPr="00DB03A6">
        <w:rPr>
          <w:rFonts w:ascii="Arial" w:eastAsia="Calibri" w:hAnsi="Arial" w:cs="Arial"/>
        </w:rPr>
        <w:t xml:space="preserve"> </w:t>
      </w:r>
    </w:p>
    <w:sectPr w:rsidR="00717406" w:rsidRPr="00DB03A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374A"/>
    <w:multiLevelType w:val="hybridMultilevel"/>
    <w:tmpl w:val="800E3D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5729E"/>
    <w:multiLevelType w:val="hybridMultilevel"/>
    <w:tmpl w:val="A9D85E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D13D7"/>
    <w:multiLevelType w:val="hybridMultilevel"/>
    <w:tmpl w:val="A11899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230564">
    <w:abstractNumId w:val="2"/>
  </w:num>
  <w:num w:numId="2" w16cid:durableId="659189598">
    <w:abstractNumId w:val="1"/>
  </w:num>
  <w:num w:numId="3" w16cid:durableId="1240142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F17"/>
    <w:rsid w:val="000B7D1B"/>
    <w:rsid w:val="00717406"/>
    <w:rsid w:val="00A80F17"/>
    <w:rsid w:val="00DB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551F2"/>
  <w15:chartTrackingRefBased/>
  <w15:docId w15:val="{DDE9A551-6AF0-4C98-89A0-E9B3B3DC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80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515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Denilia Dias</dc:creator>
  <cp:keywords/>
  <dc:description/>
  <cp:lastModifiedBy>Romario Torres</cp:lastModifiedBy>
  <cp:revision>2</cp:revision>
  <dcterms:created xsi:type="dcterms:W3CDTF">2022-04-05T17:31:00Z</dcterms:created>
  <dcterms:modified xsi:type="dcterms:W3CDTF">2022-07-11T14:27:00Z</dcterms:modified>
</cp:coreProperties>
</file>